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C1" w:rsidRDefault="005C7D80" w:rsidP="005C7D80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5C7D80">
        <w:rPr>
          <w:rFonts w:ascii="Times New Roman" w:hAnsi="Times New Roman" w:cs="Times New Roman"/>
          <w:b/>
          <w:sz w:val="28"/>
          <w:szCs w:val="28"/>
        </w:rPr>
        <w:t>ПРИЛОЗИ</w:t>
      </w:r>
    </w:p>
    <w:p w:rsidR="005C7D80" w:rsidRPr="005C7D80" w:rsidRDefault="005C7D80" w:rsidP="005C7D80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1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4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1.1.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Стратегија обезбеђења квалитета  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5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1.2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. Мере и субјекти обезбеђења квалитета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6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1.3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>. Акциони план за спровођење стратегије и одлуке о његовом усвајању и допунама (уколико их је било).</w:t>
      </w:r>
    </w:p>
    <w:p w:rsidR="00E126F6" w:rsidRDefault="00E126F6" w:rsidP="005C7D80">
      <w:pPr>
        <w:spacing w:after="120"/>
        <w:jc w:val="left"/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2: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7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2.1</w:t>
        </w:r>
        <w:r w:rsidR="00E126F6" w:rsidRPr="00264E9D">
          <w:rPr>
            <w:rStyle w:val="Hyperlink"/>
            <w:rFonts w:eastAsia="Times New Roman" w:cstheme="minorBidi"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Усвојени документ - Стандарди и поступци за обезбеђење и унапређење  квалитета високошколске установе 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8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2.2.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Усвојени план рада и процедура за праћење и унапређење квалитета високошколске установе у оквиру стандарда квалитета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9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2.3.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Усвојени годишњи извештаји о раду успостављеног тела (комисије, одбора, центара) за унутрашње осигурање квалитета високошколске установе</w:t>
      </w:r>
    </w:p>
    <w:p w:rsidR="005C7D80" w:rsidRDefault="005C7D80" w:rsidP="005C7D80">
      <w:pPr>
        <w:spacing w:after="120"/>
        <w:jc w:val="left"/>
        <w:rPr>
          <w:rFonts w:ascii="Times New Roman" w:eastAsia="Times New Roman" w:hAnsi="Times New Roman"/>
          <w:b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3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0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л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ог 3.1.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Формално успостављено тело (комисија, одбор) са конкретном одговорношћу за унутрашње осигурање квалитета у високошколској установи (извод из Статута) и опис рада (до 100 речи). </w:t>
      </w:r>
    </w:p>
    <w:p w:rsidR="00E126F6" w:rsidRPr="00D5113E" w:rsidRDefault="00264E9D" w:rsidP="005C7D80">
      <w:pPr>
        <w:widowControl w:val="0"/>
        <w:autoSpaceDE w:val="0"/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1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 xml:space="preserve">Прилог 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3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.2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>. Списак свих анкета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12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3.3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Документ о анализи резултата анкета и о усвајању корективних и превентивних мера</w:t>
      </w:r>
    </w:p>
    <w:p w:rsidR="005C7D80" w:rsidRDefault="005C7D80" w:rsidP="005C7D80">
      <w:pPr>
        <w:spacing w:after="120"/>
        <w:jc w:val="left"/>
        <w:rPr>
          <w:rFonts w:ascii="Times New Roman" w:eastAsia="Times New Roman" w:hAnsi="Times New Roman"/>
          <w:b/>
        </w:rPr>
      </w:pPr>
    </w:p>
    <w:p w:rsidR="005C7D80" w:rsidRPr="00D5113E" w:rsidRDefault="005C7D80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 xml:space="preserve">Показатељи и прилози за стандард </w:t>
      </w:r>
      <w:r>
        <w:rPr>
          <w:rFonts w:ascii="Times New Roman" w:eastAsia="Times New Roman" w:hAnsi="Times New Roman"/>
          <w:b/>
        </w:rPr>
        <w:t>4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3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4.1.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Анализа резултата анкета о мишљењу дипломираних студената о квалитетустудијког програма и постигнутим исходима учења.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14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4.2.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Анализа резултата анкета о задовољству послодаваца стеченим квалификацијама дипломаца.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5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5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и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лог  5.1.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 xml:space="preserve"> </w:t>
      </w:r>
      <w:r w:rsidR="00E126F6" w:rsidRPr="00D5113E">
        <w:rPr>
          <w:rFonts w:ascii="Times New Roman" w:eastAsia="Times New Roman" w:hAnsi="Times New Roman"/>
          <w:lang w:val="sr-Cyrl-CS"/>
        </w:rPr>
        <w:t xml:space="preserve">Анализа резултата анкета студената о квалитету наставног процеса 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6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5.2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 xml:space="preserve">. </w:t>
      </w:r>
      <w:r w:rsidR="00E126F6" w:rsidRPr="00D5113E">
        <w:rPr>
          <w:rFonts w:ascii="Times New Roman" w:eastAsia="Times New Roman" w:hAnsi="Times New Roman"/>
          <w:lang w:val="sr-Cyrl-CS"/>
        </w:rPr>
        <w:t>Процедуре и поступци који обезбеђују поштовање плана и распореда наставе.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17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5.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3</w:t>
        </w:r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 xml:space="preserve"> </w:t>
      </w:r>
      <w:r w:rsidR="00E126F6" w:rsidRPr="00D5113E">
        <w:rPr>
          <w:rFonts w:ascii="Times New Roman" w:eastAsia="Times New Roman" w:hAnsi="Times New Roman"/>
          <w:lang w:val="sr-Cyrl-CS"/>
        </w:rPr>
        <w:t>Доказ о спроведеним активностима којима се подстиче стицање активних компетенција наставника и сарадника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6: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8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6.1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>.</w:t>
      </w:r>
      <w:r w:rsidR="00E126F6" w:rsidRPr="00D5113E">
        <w:rPr>
          <w:rFonts w:ascii="Times New Roman" w:eastAsia="Times New Roman" w:hAnsi="Times New Roman"/>
          <w:lang w:val="sr-Cyrl-CS"/>
        </w:rPr>
        <w:t xml:space="preserve"> Списак  награда  и признања  наставника,  сарадника  и  студената  за остварене резултате у научноистраживачком и  уметничко-истраживачком раду. 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19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6.2.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Однос наставника и сарадника укључених у пројекте у односу на укупан број наставника и сарадника на високошколској установи.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20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6.3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>.  Однос  броја  SCI-индексираних    радова  у  односу  на  укупан  број наставника и сарадника на високошколској установи.</w:t>
      </w:r>
    </w:p>
    <w:p w:rsidR="005C7D80" w:rsidRDefault="005C7D80" w:rsidP="005C7D80">
      <w:pPr>
        <w:spacing w:after="120"/>
        <w:jc w:val="left"/>
        <w:rPr>
          <w:rFonts w:ascii="Times New Roman" w:hAnsi="Times New Roman" w:cs="Times New Roman"/>
          <w:b/>
        </w:rPr>
      </w:pPr>
    </w:p>
    <w:p w:rsidR="005C7D80" w:rsidRDefault="005C7D80" w:rsidP="005C7D80">
      <w:pPr>
        <w:spacing w:after="120"/>
        <w:jc w:val="left"/>
        <w:rPr>
          <w:rFonts w:ascii="Times New Roman" w:hAnsi="Times New Roman" w:cs="Times New Roman"/>
          <w:b/>
        </w:rPr>
      </w:pPr>
    </w:p>
    <w:p w:rsidR="005C7D80" w:rsidRDefault="005C7D80" w:rsidP="005C7D80">
      <w:pPr>
        <w:spacing w:after="120"/>
        <w:jc w:val="left"/>
        <w:rPr>
          <w:rFonts w:ascii="Times New Roman" w:hAnsi="Times New Roman" w:cs="Times New Roman"/>
          <w:b/>
        </w:rPr>
      </w:pPr>
    </w:p>
    <w:p w:rsidR="00E126F6" w:rsidRPr="005C7D80" w:rsidRDefault="00E126F6" w:rsidP="005C7D80">
      <w:pPr>
        <w:spacing w:after="120"/>
        <w:jc w:val="left"/>
        <w:rPr>
          <w:rFonts w:ascii="Times New Roman" w:hAnsi="Times New Roman" w:cs="Times New Roman"/>
          <w:b/>
        </w:rPr>
      </w:pPr>
      <w:proofErr w:type="spellStart"/>
      <w:r w:rsidRPr="005C7D80">
        <w:rPr>
          <w:rFonts w:ascii="Times New Roman" w:hAnsi="Times New Roman" w:cs="Times New Roman"/>
          <w:b/>
        </w:rPr>
        <w:lastRenderedPageBreak/>
        <w:t>Показатељи</w:t>
      </w:r>
      <w:proofErr w:type="spellEnd"/>
      <w:r w:rsidRPr="005C7D80">
        <w:rPr>
          <w:rFonts w:ascii="Times New Roman" w:hAnsi="Times New Roman" w:cs="Times New Roman"/>
          <w:b/>
        </w:rPr>
        <w:t xml:space="preserve"> и </w:t>
      </w:r>
      <w:proofErr w:type="spellStart"/>
      <w:r w:rsidRPr="005C7D80">
        <w:rPr>
          <w:rFonts w:ascii="Times New Roman" w:hAnsi="Times New Roman" w:cs="Times New Roman"/>
          <w:b/>
        </w:rPr>
        <w:t>прилози</w:t>
      </w:r>
      <w:proofErr w:type="spellEnd"/>
      <w:r w:rsidRPr="005C7D80">
        <w:rPr>
          <w:rFonts w:ascii="Times New Roman" w:hAnsi="Times New Roman" w:cs="Times New Roman"/>
          <w:b/>
        </w:rPr>
        <w:t xml:space="preserve"> </w:t>
      </w:r>
      <w:proofErr w:type="spellStart"/>
      <w:r w:rsidRPr="005C7D80">
        <w:rPr>
          <w:rFonts w:ascii="Times New Roman" w:hAnsi="Times New Roman" w:cs="Times New Roman"/>
          <w:b/>
        </w:rPr>
        <w:t>за</w:t>
      </w:r>
      <w:proofErr w:type="spellEnd"/>
      <w:r w:rsidRPr="005C7D80">
        <w:rPr>
          <w:rFonts w:ascii="Times New Roman" w:hAnsi="Times New Roman" w:cs="Times New Roman"/>
          <w:b/>
        </w:rPr>
        <w:t xml:space="preserve"> стандард  7:</w:t>
      </w:r>
    </w:p>
    <w:p w:rsidR="00E126F6" w:rsidRPr="005C7D80" w:rsidRDefault="00264E9D" w:rsidP="005C7D80">
      <w:pPr>
        <w:spacing w:after="120"/>
        <w:ind w:firstLine="720"/>
        <w:jc w:val="left"/>
        <w:rPr>
          <w:rFonts w:ascii="Times New Roman" w:hAnsi="Times New Roman" w:cs="Times New Roman"/>
        </w:rPr>
      </w:pPr>
      <w:hyperlink r:id="rId21" w:history="1">
        <w:proofErr w:type="spellStart"/>
        <w:r w:rsidR="00E126F6" w:rsidRPr="00264E9D">
          <w:rPr>
            <w:rStyle w:val="Hyperlink"/>
            <w:b/>
          </w:rPr>
          <w:t>Прилог</w:t>
        </w:r>
        <w:proofErr w:type="spellEnd"/>
        <w:r w:rsidR="00E126F6" w:rsidRPr="00264E9D">
          <w:rPr>
            <w:rStyle w:val="Hyperlink"/>
            <w:b/>
          </w:rPr>
          <w:t xml:space="preserve">  7.1.</w:t>
        </w:r>
      </w:hyperlink>
      <w:r w:rsidR="00E126F6" w:rsidRPr="005C7D80">
        <w:rPr>
          <w:rFonts w:ascii="Times New Roman" w:hAnsi="Times New Roman" w:cs="Times New Roman"/>
        </w:rPr>
        <w:t xml:space="preserve"> Правилник о избору наставника и сарадника</w:t>
      </w:r>
    </w:p>
    <w:p w:rsidR="00E126F6" w:rsidRPr="005C7D80" w:rsidRDefault="00264E9D" w:rsidP="005C7D80">
      <w:pPr>
        <w:spacing w:after="120"/>
        <w:ind w:firstLine="720"/>
        <w:jc w:val="left"/>
        <w:rPr>
          <w:rFonts w:ascii="Times New Roman" w:hAnsi="Times New Roman" w:cs="Times New Roman"/>
        </w:rPr>
      </w:pPr>
      <w:hyperlink r:id="rId22" w:history="1">
        <w:proofErr w:type="spellStart"/>
        <w:r w:rsidR="00E126F6" w:rsidRPr="00264E9D">
          <w:rPr>
            <w:rStyle w:val="Hyperlink"/>
            <w:b/>
          </w:rPr>
          <w:t>Прилог</w:t>
        </w:r>
        <w:proofErr w:type="spellEnd"/>
        <w:r w:rsidR="00E126F6" w:rsidRPr="00264E9D">
          <w:rPr>
            <w:rStyle w:val="Hyperlink"/>
            <w:b/>
          </w:rPr>
          <w:t xml:space="preserve"> 7.2.</w:t>
        </w:r>
      </w:hyperlink>
      <w:r w:rsidR="00E126F6" w:rsidRPr="005C7D80">
        <w:rPr>
          <w:rFonts w:ascii="Times New Roman" w:hAnsi="Times New Roman" w:cs="Times New Roman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E126F6" w:rsidRPr="005C7D80" w:rsidRDefault="00E126F6" w:rsidP="005C7D80">
      <w:pPr>
        <w:spacing w:after="120"/>
        <w:jc w:val="left"/>
        <w:rPr>
          <w:rFonts w:ascii="Times New Roman" w:hAnsi="Times New Roman" w:cs="Times New Roman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8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spacing w:after="120"/>
        <w:ind w:left="720"/>
        <w:jc w:val="left"/>
        <w:rPr>
          <w:rFonts w:ascii="Times New Roman" w:hAnsi="Times New Roman"/>
          <w:lang w:val="sr-Cyrl-CS"/>
        </w:rPr>
      </w:pPr>
      <w:hyperlink r:id="rId23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8.1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. Правилник о процедури пријема студената 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24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8.2</w:t>
        </w:r>
        <w:r w:rsidR="00E126F6" w:rsidRPr="00264E9D">
          <w:rPr>
            <w:rStyle w:val="Hyperlink"/>
            <w:rFonts w:eastAsia="Times New Roman" w:cstheme="minorBidi"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Правилник о оцењивању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25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8.3.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 xml:space="preserve"> </w:t>
      </w:r>
      <w:r w:rsidR="00E126F6" w:rsidRPr="00D5113E">
        <w:rPr>
          <w:rFonts w:ascii="Times New Roman" w:eastAsia="Times New Roman" w:hAnsi="Times New Roman"/>
          <w:lang w:val="sr-Cyrl-CS"/>
        </w:rPr>
        <w:t>Процедуре и корективне мере у случају неиспуњавања и одступања од усвојених процедура оцењивања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9: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26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 9.1</w:t>
        </w:r>
      </w:hyperlink>
      <w:r w:rsidR="00E126F6" w:rsidRPr="00D5113E">
        <w:rPr>
          <w:rFonts w:ascii="Times New Roman" w:eastAsia="Times New Roman" w:hAnsi="Times New Roman"/>
          <w:b/>
          <w:lang w:val="sr-Cyrl-CS"/>
        </w:rPr>
        <w:t xml:space="preserve"> </w:t>
      </w:r>
      <w:r w:rsidR="00E126F6" w:rsidRPr="00D5113E">
        <w:rPr>
          <w:rFonts w:ascii="Times New Roman" w:eastAsia="Times New Roman" w:hAnsi="Times New Roman"/>
          <w:lang w:val="sr-Cyrl-CS"/>
        </w:rPr>
        <w:t>Општи акт о уџбеницима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27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9.2.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Списак уџбеника и монографија чији су аутори наставници запослени на високошколској  установи (са редним бројевима)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28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9.3.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5C7D80" w:rsidRDefault="005C7D80" w:rsidP="005C7D80">
      <w:pPr>
        <w:spacing w:after="120"/>
        <w:contextualSpacing/>
        <w:jc w:val="left"/>
        <w:rPr>
          <w:rFonts w:ascii="Times New Roman" w:eastAsia="Times New Roman" w:hAnsi="Times New Roman"/>
          <w:b/>
        </w:rPr>
      </w:pPr>
    </w:p>
    <w:p w:rsidR="00E126F6" w:rsidRPr="00D5113E" w:rsidRDefault="00E126F6" w:rsidP="005C7D80">
      <w:pPr>
        <w:spacing w:after="120"/>
        <w:contextualSpacing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10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spacing w:after="120"/>
        <w:ind w:left="720"/>
        <w:contextualSpacing/>
        <w:jc w:val="left"/>
        <w:rPr>
          <w:rFonts w:ascii="Times New Roman" w:hAnsi="Times New Roman"/>
          <w:lang w:val="sr-Cyrl-CS"/>
        </w:rPr>
      </w:pPr>
      <w:hyperlink r:id="rId29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10.1</w:t>
        </w:r>
        <w:r w:rsidR="00E126F6" w:rsidRPr="00264E9D">
          <w:rPr>
            <w:rStyle w:val="Hyperlink"/>
            <w:rFonts w:eastAsia="Times New Roman" w:cstheme="minorBidi"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Шематска организациона структура високошколске установе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30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Прилог10.2</w:t>
        </w:r>
        <w:r w:rsidR="00E126F6" w:rsidRPr="00264E9D">
          <w:rPr>
            <w:rStyle w:val="Hyperlink"/>
            <w:rFonts w:eastAsia="Times New Roman" w:cstheme="minorBidi"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Aнализа резултата анкете студената о процени квалитета рада органа управљања и рада стручних служби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12</w:t>
      </w:r>
      <w:r w:rsidRPr="00D5113E">
        <w:rPr>
          <w:rFonts w:ascii="Times New Roman" w:eastAsia="Times New Roman" w:hAnsi="Times New Roman"/>
          <w:b/>
          <w:color w:val="FF0000"/>
          <w:lang w:val="sr-Cyrl-CS"/>
        </w:rPr>
        <w:t>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31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 12.1.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Финансијски план  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32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  12.2</w:t>
        </w:r>
        <w:r w:rsidR="00E126F6" w:rsidRPr="00264E9D">
          <w:rPr>
            <w:rStyle w:val="Hyperlink"/>
            <w:rFonts w:eastAsia="Times New Roman" w:cstheme="minorBidi"/>
            <w:lang w:val="sr-Cyrl-CS"/>
          </w:rPr>
          <w:t>.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Финансијски извештај за претходну календарску годину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</w:rPr>
      </w:pPr>
    </w:p>
    <w:p w:rsidR="005C7D80" w:rsidRPr="005C7D80" w:rsidRDefault="005C7D80" w:rsidP="005C7D80">
      <w:pPr>
        <w:spacing w:after="120"/>
        <w:jc w:val="left"/>
        <w:rPr>
          <w:rFonts w:ascii="Times New Roman" w:eastAsia="Times New Roman" w:hAnsi="Times New Roman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1</w:t>
      </w:r>
      <w:r>
        <w:rPr>
          <w:rFonts w:ascii="Times New Roman" w:eastAsia="Times New Roman" w:hAnsi="Times New Roman"/>
          <w:b/>
        </w:rPr>
        <w:t>3: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33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13.1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Документација која потврђује учешће студената у самовредновању и провери квалитета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14:</w:t>
      </w:r>
    </w:p>
    <w:p w:rsidR="00E126F6" w:rsidRDefault="00264E9D" w:rsidP="005C7D80">
      <w:pPr>
        <w:spacing w:after="120"/>
        <w:ind w:firstLine="720"/>
        <w:jc w:val="left"/>
        <w:rPr>
          <w:rFonts w:ascii="Times New Roman" w:eastAsia="Times New Roman" w:hAnsi="Times New Roman"/>
          <w:lang w:val="sr-Cyrl-CS"/>
        </w:rPr>
      </w:pPr>
      <w:hyperlink r:id="rId34" w:history="1">
        <w:r w:rsidR="00E126F6" w:rsidRPr="00264E9D">
          <w:rPr>
            <w:rStyle w:val="Hyperlink"/>
            <w:rFonts w:eastAsia="Times New Roman" w:cstheme="minorBidi"/>
            <w:b/>
            <w:lang w:val="sr-Cyrl-CS"/>
          </w:rPr>
          <w:t>Прилог 14.1</w:t>
        </w:r>
      </w:hyperlink>
      <w:r w:rsidR="00E126F6" w:rsidRPr="00D5113E">
        <w:rPr>
          <w:rFonts w:ascii="Times New Roman" w:eastAsia="Times New Roman" w:hAnsi="Times New Roman"/>
          <w:lang w:val="sr-Cyrl-CS"/>
        </w:rPr>
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</w:r>
    </w:p>
    <w:p w:rsidR="00E126F6" w:rsidRDefault="00E126F6" w:rsidP="005C7D80">
      <w:pPr>
        <w:spacing w:after="120"/>
        <w:jc w:val="left"/>
        <w:rPr>
          <w:rFonts w:ascii="Times New Roman" w:eastAsia="Times New Roman" w:hAnsi="Times New Roman"/>
          <w:lang w:val="sr-Cyrl-CS"/>
        </w:rPr>
      </w:pPr>
    </w:p>
    <w:p w:rsidR="00E126F6" w:rsidRPr="00D5113E" w:rsidRDefault="00E126F6" w:rsidP="005C7D80">
      <w:pPr>
        <w:spacing w:after="120"/>
        <w:jc w:val="left"/>
        <w:rPr>
          <w:rFonts w:ascii="Times New Roman" w:hAnsi="Times New Roman"/>
          <w:lang w:val="sr-Cyrl-CS"/>
        </w:rPr>
      </w:pPr>
      <w:r w:rsidRPr="00D5113E">
        <w:rPr>
          <w:rFonts w:ascii="Times New Roman" w:eastAsia="Times New Roman" w:hAnsi="Times New Roman"/>
          <w:b/>
          <w:lang w:val="sr-Cyrl-CS"/>
        </w:rPr>
        <w:t>Показатељи и прилози за стандард  15: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35" w:history="1">
        <w:r w:rsidR="00E126F6" w:rsidRPr="00264E9D">
          <w:rPr>
            <w:rStyle w:val="Hyperlink"/>
            <w:rFonts w:eastAsia="Times New Roman" w:cstheme="minorBidi"/>
            <w:b/>
            <w:bCs/>
            <w:lang w:val="sr-Cyrl-CS"/>
          </w:rPr>
          <w:t>Прилог 15.1</w:t>
        </w:r>
      </w:hyperlink>
      <w:r w:rsidR="00E126F6" w:rsidRPr="00D5113E">
        <w:rPr>
          <w:rFonts w:ascii="Times New Roman" w:eastAsia="Times New Roman" w:hAnsi="Times New Roman"/>
          <w:bCs/>
          <w:lang w:val="sr-Cyrl-CS"/>
        </w:rPr>
        <w:t xml:space="preserve"> Правилник докторских студија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36" w:history="1">
        <w:r w:rsidR="00E126F6" w:rsidRPr="00264E9D">
          <w:rPr>
            <w:rStyle w:val="Hyperlink"/>
            <w:rFonts w:eastAsia="Times New Roman" w:cstheme="minorBidi"/>
            <w:b/>
            <w:bCs/>
            <w:lang w:val="sr-Cyrl-CS"/>
          </w:rPr>
          <w:t>Прилог 15.2</w:t>
        </w:r>
      </w:hyperlink>
      <w:r w:rsidR="00E126F6" w:rsidRPr="00D5113E">
        <w:rPr>
          <w:rFonts w:ascii="Times New Roman" w:eastAsia="Times New Roman" w:hAnsi="Times New Roman"/>
          <w:bCs/>
          <w:lang w:val="sr-Cyrl-CS"/>
        </w:rPr>
        <w:t xml:space="preserve"> Извод из Статута који регулише докторске студије</w:t>
      </w:r>
    </w:p>
    <w:p w:rsidR="00E126F6" w:rsidRPr="00D5113E" w:rsidRDefault="00264E9D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37" w:history="1">
        <w:r w:rsidR="00E126F6" w:rsidRPr="00264E9D">
          <w:rPr>
            <w:rStyle w:val="Hyperlink"/>
            <w:rFonts w:eastAsia="Times New Roman" w:cstheme="minorBidi"/>
            <w:b/>
            <w:bCs/>
            <w:lang w:val="sr-Cyrl-CS"/>
          </w:rPr>
          <w:t>Прилог 15.3</w:t>
        </w:r>
      </w:hyperlink>
      <w:r w:rsidR="00E126F6" w:rsidRPr="00D5113E">
        <w:rPr>
          <w:rFonts w:ascii="Times New Roman" w:eastAsia="Times New Roman" w:hAnsi="Times New Roman"/>
          <w:bCs/>
          <w:lang w:val="sr-Cyrl-CS"/>
        </w:rPr>
        <w:t xml:space="preserve"> Правилник о раду докторске школе</w:t>
      </w:r>
    </w:p>
    <w:p w:rsidR="00E126F6" w:rsidRPr="00D5113E" w:rsidRDefault="00F74EE2" w:rsidP="005C7D80">
      <w:pPr>
        <w:spacing w:after="120"/>
        <w:ind w:firstLine="720"/>
        <w:jc w:val="left"/>
        <w:rPr>
          <w:rFonts w:ascii="Times New Roman" w:hAnsi="Times New Roman"/>
          <w:lang w:val="sr-Cyrl-CS"/>
        </w:rPr>
      </w:pPr>
      <w:hyperlink r:id="rId38" w:history="1"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>Прилог</w:t>
        </w:r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 xml:space="preserve"> </w:t>
        </w:r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>15.4</w:t>
        </w:r>
      </w:hyperlink>
      <w:r w:rsidR="00E126F6" w:rsidRPr="00D5113E">
        <w:rPr>
          <w:rFonts w:ascii="Times New Roman" w:eastAsia="Times New Roman" w:hAnsi="Times New Roman"/>
          <w:bCs/>
          <w:lang w:val="sr-Cyrl-CS"/>
        </w:rPr>
        <w:t xml:space="preserve"> Правилник о избору ментора</w:t>
      </w:r>
    </w:p>
    <w:p w:rsidR="00E126F6" w:rsidRPr="00E126F6" w:rsidRDefault="00F74EE2" w:rsidP="005C7D80">
      <w:pPr>
        <w:spacing w:after="120"/>
        <w:ind w:firstLine="720"/>
        <w:jc w:val="left"/>
      </w:pPr>
      <w:hyperlink r:id="rId39" w:history="1"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 xml:space="preserve">Прилог </w:t>
        </w:r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>1</w:t>
        </w:r>
        <w:r w:rsidR="00E126F6" w:rsidRPr="00F74EE2">
          <w:rPr>
            <w:rStyle w:val="Hyperlink"/>
            <w:rFonts w:eastAsia="Times New Roman" w:cstheme="minorBidi"/>
            <w:b/>
            <w:bCs/>
            <w:lang w:val="sr-Cyrl-CS"/>
          </w:rPr>
          <w:t>5.5</w:t>
        </w:r>
      </w:hyperlink>
      <w:r w:rsidR="00E126F6" w:rsidRPr="00D5113E">
        <w:rPr>
          <w:rFonts w:ascii="Times New Roman" w:eastAsia="Times New Roman" w:hAnsi="Times New Roman"/>
          <w:bCs/>
          <w:lang w:val="sr-Cyrl-CS"/>
        </w:rPr>
        <w:t xml:space="preserve"> Поступак израде и одбране докторске дисертације односно  докторског уметничког пројекта</w:t>
      </w:r>
    </w:p>
    <w:sectPr w:rsidR="00E126F6" w:rsidRPr="00E126F6" w:rsidSect="00A87285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126F6"/>
    <w:rsid w:val="00151B45"/>
    <w:rsid w:val="00264E9D"/>
    <w:rsid w:val="00295F29"/>
    <w:rsid w:val="00312168"/>
    <w:rsid w:val="0036356C"/>
    <w:rsid w:val="003E03C6"/>
    <w:rsid w:val="00542AC1"/>
    <w:rsid w:val="005C7D80"/>
    <w:rsid w:val="007739D4"/>
    <w:rsid w:val="0091493C"/>
    <w:rsid w:val="00942282"/>
    <w:rsid w:val="00A87285"/>
    <w:rsid w:val="00C261AF"/>
    <w:rsid w:val="00CC3987"/>
    <w:rsid w:val="00D3639C"/>
    <w:rsid w:val="00E126F6"/>
    <w:rsid w:val="00EA07A5"/>
    <w:rsid w:val="00F7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126F6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4E9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2/prilog_2.2._Pravilnik_o_samovrednovanju.pdf" TargetMode="External"/><Relationship Id="rId13" Type="http://schemas.openxmlformats.org/officeDocument/2006/relationships/hyperlink" Target="St4/prilog_4.1.pdf" TargetMode="External"/><Relationship Id="rId18" Type="http://schemas.openxmlformats.org/officeDocument/2006/relationships/hyperlink" Target="St6/prilog_6.1.doc" TargetMode="External"/><Relationship Id="rId26" Type="http://schemas.openxmlformats.org/officeDocument/2006/relationships/hyperlink" Target="St9/prilog_9.1_Pravilnik_o_nastavnoj_literaturi.pdf" TargetMode="External"/><Relationship Id="rId39" Type="http://schemas.openxmlformats.org/officeDocument/2006/relationships/hyperlink" Target="St15/Prilog%2015.5%20Postupak%20odbrane%20doktorske%20disertacije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St7/prilog_7.1.1_Pravilnik_za_sticanje_zvanja.pdf" TargetMode="External"/><Relationship Id="rId34" Type="http://schemas.openxmlformats.org/officeDocument/2006/relationships/hyperlink" Target="St14/prilog_14.1_Informacije_prezentovane.doc" TargetMode="External"/><Relationship Id="rId7" Type="http://schemas.openxmlformats.org/officeDocument/2006/relationships/hyperlink" Target="St2/prilog_2.1._Pravilnik_o_obezbedjenju.pdf" TargetMode="External"/><Relationship Id="rId12" Type="http://schemas.openxmlformats.org/officeDocument/2006/relationships/hyperlink" Target="St3/prilog_3.3._Dokument_o_analizi_rezultata_anketa.pdf" TargetMode="External"/><Relationship Id="rId17" Type="http://schemas.openxmlformats.org/officeDocument/2006/relationships/hyperlink" Target="St5/prilog_5.3.docx" TargetMode="External"/><Relationship Id="rId25" Type="http://schemas.openxmlformats.org/officeDocument/2006/relationships/hyperlink" Target="St8/prilog_8.3._Procedure_korektivne_mere.docx" TargetMode="External"/><Relationship Id="rId33" Type="http://schemas.openxmlformats.org/officeDocument/2006/relationships/hyperlink" Target="St13/prilog%2013.1__Ucesce_studenata.pdf" TargetMode="External"/><Relationship Id="rId38" Type="http://schemas.openxmlformats.org/officeDocument/2006/relationships/hyperlink" Target="St15/Prilog%2015.4%20Pravilnik%20o%20izboru%20mentora.docx" TargetMode="External"/><Relationship Id="rId2" Type="http://schemas.openxmlformats.org/officeDocument/2006/relationships/settings" Target="settings.xml"/><Relationship Id="rId16" Type="http://schemas.openxmlformats.org/officeDocument/2006/relationships/hyperlink" Target="St5/prilog_5.2.pdf" TargetMode="External"/><Relationship Id="rId20" Type="http://schemas.openxmlformats.org/officeDocument/2006/relationships/hyperlink" Target="St6/prilog_6.3.doc" TargetMode="External"/><Relationship Id="rId29" Type="http://schemas.openxmlformats.org/officeDocument/2006/relationships/hyperlink" Target="St10/prilog_10.1_Sematska%20organizaciona%20struktura.doc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St1/prilog_1.3._Akcioni_plan.pdf" TargetMode="External"/><Relationship Id="rId11" Type="http://schemas.openxmlformats.org/officeDocument/2006/relationships/hyperlink" Target="St3/Prilog%203.2.docx" TargetMode="External"/><Relationship Id="rId24" Type="http://schemas.openxmlformats.org/officeDocument/2006/relationships/hyperlink" Target="St8/prilog_8.2._Pravilnik_o_ocenjivanju.pdf" TargetMode="External"/><Relationship Id="rId32" Type="http://schemas.openxmlformats.org/officeDocument/2006/relationships/hyperlink" Target="St12/Prilog%2012.2%20Finansijsji%20izvestaji%20za%20poslednje%20tri%20godine.pdf" TargetMode="External"/><Relationship Id="rId37" Type="http://schemas.openxmlformats.org/officeDocument/2006/relationships/hyperlink" Target="St15/Prilog%2015.3%20Pravilnik%20o%20radu%20doktorske%20skole.docx" TargetMode="External"/><Relationship Id="rId40" Type="http://schemas.openxmlformats.org/officeDocument/2006/relationships/fontTable" Target="fontTable.xml"/><Relationship Id="rId5" Type="http://schemas.openxmlformats.org/officeDocument/2006/relationships/hyperlink" Target="St1/prilog_1.2._Pravilnik_o_obezbedjenju_i_unaredjenju.pdf" TargetMode="External"/><Relationship Id="rId15" Type="http://schemas.openxmlformats.org/officeDocument/2006/relationships/hyperlink" Target="St5/prilog_5.1.docx" TargetMode="External"/><Relationship Id="rId23" Type="http://schemas.openxmlformats.org/officeDocument/2006/relationships/hyperlink" Target="St8/prilog_8.1.1._Pravilnik_o_upisu_OAS.pdf" TargetMode="External"/><Relationship Id="rId28" Type="http://schemas.openxmlformats.org/officeDocument/2006/relationships/hyperlink" Target="St9/prilog_9.3_Odnos_broja_udzbenika_sa_brojem_nastavnika.doc" TargetMode="External"/><Relationship Id="rId36" Type="http://schemas.openxmlformats.org/officeDocument/2006/relationships/hyperlink" Target="St15/Prilog%2015.2%20Izvod%20iz%20Statuta%20koji%20regulise%20doktorske%20studije.docx" TargetMode="External"/><Relationship Id="rId10" Type="http://schemas.openxmlformats.org/officeDocument/2006/relationships/hyperlink" Target="St3/prilog_3.1.1._Opis_rada_i_izvod_Statuta.pdf" TargetMode="External"/><Relationship Id="rId19" Type="http://schemas.openxmlformats.org/officeDocument/2006/relationships/hyperlink" Target="St6/prilog_6.2.doc" TargetMode="External"/><Relationship Id="rId31" Type="http://schemas.openxmlformats.org/officeDocument/2006/relationships/hyperlink" Target="St12/Prilog%2012.1%20Finansijski%20plan%20za%20tekucu%20godinu.pdf" TargetMode="External"/><Relationship Id="rId4" Type="http://schemas.openxmlformats.org/officeDocument/2006/relationships/hyperlink" Target="St1/prilog_1.1.1.%20Strategija.pdf" TargetMode="External"/><Relationship Id="rId9" Type="http://schemas.openxmlformats.org/officeDocument/2006/relationships/hyperlink" Target="St2/prilog_2.3_Izvestaj_rada_Komisije_2018-2019.pdf" TargetMode="External"/><Relationship Id="rId14" Type="http://schemas.openxmlformats.org/officeDocument/2006/relationships/hyperlink" Target="St4/Prilog_4.2_%20Vrednovanje_kvaliteta_diplomiranih_studenata_04_2019.pdf" TargetMode="External"/><Relationship Id="rId22" Type="http://schemas.openxmlformats.org/officeDocument/2006/relationships/hyperlink" Target="St7/prilog_7.2._Odnos_ukupnog_broja.docx" TargetMode="External"/><Relationship Id="rId27" Type="http://schemas.openxmlformats.org/officeDocument/2006/relationships/hyperlink" Target="St9/prilog_9.2_Spisak%20udzbenika%20i%20monografija.doc" TargetMode="External"/><Relationship Id="rId30" Type="http://schemas.openxmlformats.org/officeDocument/2006/relationships/hyperlink" Target="St10/prilog_10.2_Analiza%20rezultata%20ankete.docx" TargetMode="External"/><Relationship Id="rId35" Type="http://schemas.openxmlformats.org/officeDocument/2006/relationships/hyperlink" Target="St15/Prilog%2015.1%20Pravilnik_o_studiranju_na_doktorskim_studijam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Sasa</cp:lastModifiedBy>
  <cp:revision>4</cp:revision>
  <dcterms:created xsi:type="dcterms:W3CDTF">2019-11-13T13:38:00Z</dcterms:created>
  <dcterms:modified xsi:type="dcterms:W3CDTF">2019-11-13T14:04:00Z</dcterms:modified>
</cp:coreProperties>
</file>